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4DE4A608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</w:t>
      </w:r>
      <w:r w:rsidR="00E644E8">
        <w:rPr>
          <w:rFonts w:ascii="Arial" w:hAnsi="Arial" w:cs="Arial"/>
          <w:b/>
          <w:sz w:val="24"/>
        </w:rPr>
        <w:t>5</w:t>
      </w:r>
      <w:r w:rsidR="00E644E8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58084E" w:rsidRPr="0058084E">
        <w:rPr>
          <w:rFonts w:ascii="Arial" w:hAnsi="Arial" w:cs="Arial"/>
          <w:b/>
          <w:sz w:val="24"/>
        </w:rPr>
        <w:t>R4-2505412</w:t>
      </w:r>
    </w:p>
    <w:p w14:paraId="5B9CF4B1" w14:textId="5C45FCC1" w:rsidR="00BD6168" w:rsidRDefault="00E644E8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19</w:t>
      </w:r>
      <w:r w:rsidR="004B17F8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23rd</w:t>
      </w:r>
      <w:r w:rsidR="004B17F8" w:rsidRPr="000A7A0F">
        <w:rPr>
          <w:rFonts w:ascii="Arial" w:hAnsi="Arial" w:cs="Arial"/>
          <w:b/>
          <w:sz w:val="24"/>
        </w:rPr>
        <w:t xml:space="preserve"> </w:t>
      </w:r>
      <w:r w:rsidR="009A2471">
        <w:rPr>
          <w:rFonts w:ascii="Arial" w:hAnsi="Arial" w:cs="Arial"/>
          <w:b/>
          <w:sz w:val="24"/>
        </w:rPr>
        <w:t>May</w:t>
      </w:r>
      <w:r w:rsidR="004B17F8" w:rsidRPr="000A7A0F">
        <w:rPr>
          <w:rFonts w:ascii="Arial" w:hAnsi="Arial" w:cs="Arial"/>
          <w:b/>
          <w:sz w:val="24"/>
        </w:rPr>
        <w:t xml:space="preserve"> 202</w:t>
      </w:r>
      <w:r w:rsidR="004B17F8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4E31236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FE46C6">
        <w:t>5.2</w:t>
      </w:r>
    </w:p>
    <w:p w14:paraId="4DBE005A" w14:textId="57C26F80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69101C">
        <w:t xml:space="preserve"> </w:t>
      </w:r>
    </w:p>
    <w:p w14:paraId="0D2061A1" w14:textId="515557F8" w:rsidR="00D309CC" w:rsidRPr="006C351C" w:rsidRDefault="00D309CC" w:rsidP="0091467A">
      <w:pPr>
        <w:pStyle w:val="CH"/>
        <w:ind w:left="2260" w:hanging="2260"/>
      </w:pPr>
      <w:r w:rsidRPr="006C351C">
        <w:t>Title:</w:t>
      </w:r>
      <w:r w:rsidRPr="006C351C">
        <w:tab/>
      </w:r>
      <w:r w:rsidR="0058084E" w:rsidRPr="0058084E">
        <w:t>(</w:t>
      </w:r>
      <w:proofErr w:type="spellStart"/>
      <w:r w:rsidR="0058084E" w:rsidRPr="0058084E">
        <w:t>IoT_NTN_FDD_LS_band</w:t>
      </w:r>
      <w:proofErr w:type="spellEnd"/>
      <w:r w:rsidR="0058084E" w:rsidRPr="0058084E">
        <w:t>-Core) Power back-off simulations for a UE operating in 1610-1626.5 MHz frequency range</w:t>
      </w:r>
    </w:p>
    <w:p w14:paraId="052B1E0C" w14:textId="67A8CC44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58084E" w:rsidRPr="0058084E">
        <w:rPr>
          <w:lang w:val="en-DE"/>
        </w:rPr>
        <w:t>IoT_NTN_FDD_LS_band-Core</w:t>
      </w:r>
    </w:p>
    <w:p w14:paraId="6C6D1281" w14:textId="4E7AA21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69101C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6737966" w14:textId="27E49113" w:rsidR="0058084E" w:rsidRDefault="00FF5898" w:rsidP="0069101C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 w:rsidR="006548FC">
        <w:t>After</w:t>
      </w:r>
      <w:r w:rsidR="005C6D6D">
        <w:t xml:space="preserve"> the RAN#98 meeting new Rel-18 spectrum WI</w:t>
      </w:r>
      <w:r w:rsidR="00D2744D">
        <w:t>s</w:t>
      </w:r>
      <w:r w:rsidR="005C6D6D">
        <w:t xml:space="preserve"> </w:t>
      </w:r>
      <w:r w:rsidR="00D2744D">
        <w:t>were</w:t>
      </w:r>
      <w:r w:rsidR="005C6D6D">
        <w:t xml:space="preserve"> agreed with the objective of adding support for </w:t>
      </w:r>
      <w:r w:rsidR="00D2744D">
        <w:t>new</w:t>
      </w:r>
      <w:r w:rsidR="005C6D6D">
        <w:t xml:space="preserve"> band</w:t>
      </w:r>
      <w:r w:rsidR="00D2744D">
        <w:t>s</w:t>
      </w:r>
      <w:r w:rsidR="005C6D6D">
        <w:t xml:space="preserve"> where the UL is on the L-band and the DL is on the S-band </w:t>
      </w:r>
      <w:r w:rsidR="005C6D6D">
        <w:fldChar w:fldCharType="begin"/>
      </w:r>
      <w:r w:rsidR="005C6D6D">
        <w:instrText xml:space="preserve"> REF _Ref126142327 \r \h </w:instrText>
      </w:r>
      <w:r w:rsidR="005C6D6D">
        <w:fldChar w:fldCharType="separate"/>
      </w:r>
      <w:r w:rsidR="005C6D6D">
        <w:t>[2]</w:t>
      </w:r>
      <w:r w:rsidR="005C6D6D">
        <w:fldChar w:fldCharType="end"/>
      </w:r>
      <w:r w:rsidR="00D2744D">
        <w:t xml:space="preserve"> </w:t>
      </w:r>
      <w:r w:rsidR="00BF6A95">
        <w:fldChar w:fldCharType="begin"/>
      </w:r>
      <w:r w:rsidR="00BF6A95">
        <w:instrText xml:space="preserve"> REF _Ref197690259 \r \h </w:instrText>
      </w:r>
      <w:r w:rsidR="00BF6A95">
        <w:fldChar w:fldCharType="separate"/>
      </w:r>
      <w:r w:rsidR="00BF6A95">
        <w:t>[3]</w:t>
      </w:r>
      <w:r w:rsidR="00BF6A95">
        <w:fldChar w:fldCharType="end"/>
      </w:r>
      <w:r w:rsidR="0069101C">
        <w:t>, which finally was specified as the NTN band</w:t>
      </w:r>
      <w:r w:rsidR="005D2F25">
        <w:t>s</w:t>
      </w:r>
      <w:r w:rsidR="0069101C">
        <w:t xml:space="preserve"> 254/n254. </w:t>
      </w:r>
    </w:p>
    <w:p w14:paraId="5FE4852F" w14:textId="3905FFB3" w:rsidR="0069101C" w:rsidRDefault="0058084E" w:rsidP="0069101C">
      <w:r>
        <w:t xml:space="preserve">Upon completion of </w:t>
      </w:r>
      <w:r w:rsidR="00162134">
        <w:t>the NTN IOT</w:t>
      </w:r>
      <w:r w:rsidR="00BF6A95">
        <w:t xml:space="preserve"> </w:t>
      </w:r>
      <w:r>
        <w:t xml:space="preserve">band 254 specification work some concerns were raised on potentially high AMPR </w:t>
      </w:r>
      <w:r w:rsidR="00427772">
        <w:t>to comply</w:t>
      </w:r>
      <w:r>
        <w:t xml:space="preserve"> with the existing ETSI regulations, and thus some AMPR values </w:t>
      </w:r>
      <w:r w:rsidR="0044760F">
        <w:t>were left</w:t>
      </w:r>
      <w:r>
        <w:t xml:space="preserve"> </w:t>
      </w:r>
      <w:r w:rsidR="0044760F">
        <w:t>as</w:t>
      </w:r>
      <w:r>
        <w:t xml:space="preserve"> TBD in TS 36.102</w:t>
      </w:r>
      <w:r w:rsidR="0069101C">
        <w:t>.</w:t>
      </w:r>
      <w:r>
        <w:t xml:space="preserve"> </w:t>
      </w:r>
      <w:r w:rsidR="00D2744D">
        <w:t>In fact, uncompleted work for band 254 also impact</w:t>
      </w:r>
      <w:r w:rsidR="00622648">
        <w:t>s</w:t>
      </w:r>
      <w:r w:rsidR="00D2744D">
        <w:t xml:space="preserve"> another spectrum WI </w:t>
      </w:r>
      <w:r w:rsidR="00BF6A95">
        <w:fldChar w:fldCharType="begin"/>
      </w:r>
      <w:r w:rsidR="00BF6A95">
        <w:instrText xml:space="preserve"> REF _Ref196749295 \r \h </w:instrText>
      </w:r>
      <w:r w:rsidR="00BF6A95">
        <w:fldChar w:fldCharType="separate"/>
      </w:r>
      <w:r w:rsidR="00BF6A95">
        <w:t>[4]</w:t>
      </w:r>
      <w:r w:rsidR="00BF6A95">
        <w:fldChar w:fldCharType="end"/>
      </w:r>
      <w:r w:rsidR="00D2744D">
        <w:t>, which will add the IOT TDD band operating in the same frequency range as the IOT band 254. Thus, in</w:t>
      </w:r>
      <w:r>
        <w:t xml:space="preserve"> this discussion paper we provide our further technical input on required power back-off values aiming to complete band 254 specifications.</w:t>
      </w:r>
    </w:p>
    <w:p w14:paraId="67D3F244" w14:textId="77777777" w:rsidR="002D5E54" w:rsidRDefault="002D5E54" w:rsidP="0069101C"/>
    <w:p w14:paraId="6078594E" w14:textId="135EDCA8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44760F">
        <w:t>Power back-off for band 254</w:t>
      </w:r>
    </w:p>
    <w:p w14:paraId="69D588A1" w14:textId="4FEBBE3A" w:rsidR="007557B3" w:rsidRDefault="00BF6A95" w:rsidP="007557B3">
      <w:r>
        <w:t xml:space="preserve">Table 2-1 below presents a summary of required A-MPR for different NB-IOT configurations, such as 12, 6, and 3 tone allocations under the existing FCC and ETSI regulations. </w:t>
      </w:r>
      <w:r w:rsidR="007557B3">
        <w:t>The full RB 12-tone allocation can be viewed as a reference point requiring 0dB A-MPR, in addition to which we also present results for the 6- and 3-tone allocations for</w:t>
      </w:r>
      <w:r>
        <w:t xml:space="preserve"> </w:t>
      </w:r>
      <w:r w:rsidR="007557B3">
        <w:t xml:space="preserve">the </w:t>
      </w:r>
      <w:r w:rsidR="007557B3" w:rsidRPr="007557B3">
        <w:rPr>
          <w:i/>
          <w:iCs/>
        </w:rPr>
        <w:t>edge</w:t>
      </w:r>
      <w:r w:rsidR="007557B3">
        <w:t xml:space="preserve"> allocations </w:t>
      </w:r>
      <w:r w:rsidR="000F3904">
        <w:t>as a worst-case scenario</w:t>
      </w:r>
      <w:r w:rsidR="007557B3">
        <w:t xml:space="preserve"> </w:t>
      </w:r>
    </w:p>
    <w:p w14:paraId="10797000" w14:textId="6779975D" w:rsidR="00133D4D" w:rsidRDefault="00133D4D" w:rsidP="007557B3">
      <w:r>
        <w:t xml:space="preserve">So as can be seen from the table, no AMPR is needed if a NB-IOT UE operates under the FCC rules. As for the ETSI regulatory domain, some A-MPR is needed for 6- and 3-tone allocations, whereupon the second ETSI sub-range requires slightly higher A-MPR because of more stringent in-band emission mask. It is also worth noting that for the 1-tone allocation we apply the fixed 2dB A-MPR, which is due to the existing -15dBW/4kHz (i.e. 21.3dBm/15kHz) PSD threshold that will always limit the maximum output power. </w:t>
      </w:r>
    </w:p>
    <w:p w14:paraId="7A2EC950" w14:textId="328177F2" w:rsidR="007557B3" w:rsidRDefault="007557B3" w:rsidP="00133D4D">
      <w:pPr>
        <w:pStyle w:val="TH"/>
      </w:pPr>
      <w:r>
        <w:t>Table 2-1: Summary of A-MPR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275"/>
        <w:gridCol w:w="1418"/>
        <w:gridCol w:w="1559"/>
        <w:gridCol w:w="4391"/>
      </w:tblGrid>
      <w:tr w:rsidR="007557B3" w14:paraId="3D40FC5F" w14:textId="77777777" w:rsidTr="00133D4D">
        <w:tc>
          <w:tcPr>
            <w:tcW w:w="988" w:type="dxa"/>
            <w:vMerge w:val="restart"/>
          </w:tcPr>
          <w:p w14:paraId="2A93EF36" w14:textId="2D699B70" w:rsidR="007557B3" w:rsidRDefault="007557B3" w:rsidP="007557B3">
            <w:pPr>
              <w:pStyle w:val="TAH"/>
            </w:pPr>
            <w:r>
              <w:t>Number of tones</w:t>
            </w:r>
          </w:p>
        </w:tc>
        <w:tc>
          <w:tcPr>
            <w:tcW w:w="1275" w:type="dxa"/>
            <w:vMerge w:val="restart"/>
          </w:tcPr>
          <w:p w14:paraId="297E1225" w14:textId="77777777" w:rsidR="007557B3" w:rsidRDefault="007557B3" w:rsidP="007557B3">
            <w:pPr>
              <w:pStyle w:val="TAH"/>
            </w:pPr>
            <w:r>
              <w:t>FCC</w:t>
            </w:r>
          </w:p>
          <w:p w14:paraId="084CBDCB" w14:textId="4B993882" w:rsidR="007557B3" w:rsidRDefault="007557B3" w:rsidP="007557B3">
            <w:pPr>
              <w:pStyle w:val="TAH"/>
            </w:pPr>
            <w:r>
              <w:t>1610-1626.5 MHz</w:t>
            </w:r>
          </w:p>
        </w:tc>
        <w:tc>
          <w:tcPr>
            <w:tcW w:w="2977" w:type="dxa"/>
            <w:gridSpan w:val="2"/>
          </w:tcPr>
          <w:p w14:paraId="0CF55D79" w14:textId="556C3444" w:rsidR="007557B3" w:rsidRDefault="007557B3" w:rsidP="007557B3">
            <w:pPr>
              <w:pStyle w:val="TAH"/>
            </w:pPr>
            <w:r>
              <w:t>ETSI</w:t>
            </w:r>
          </w:p>
        </w:tc>
        <w:tc>
          <w:tcPr>
            <w:tcW w:w="4391" w:type="dxa"/>
            <w:vMerge w:val="restart"/>
          </w:tcPr>
          <w:p w14:paraId="3C0F97D8" w14:textId="7FA6F2E5" w:rsidR="007557B3" w:rsidRDefault="007557B3" w:rsidP="007557B3">
            <w:pPr>
              <w:pStyle w:val="TAH"/>
            </w:pPr>
            <w:r>
              <w:t>Comments</w:t>
            </w:r>
          </w:p>
        </w:tc>
      </w:tr>
      <w:tr w:rsidR="007557B3" w14:paraId="38CAF8CE" w14:textId="77777777" w:rsidTr="00133D4D">
        <w:tc>
          <w:tcPr>
            <w:tcW w:w="988" w:type="dxa"/>
            <w:vMerge/>
          </w:tcPr>
          <w:p w14:paraId="011E9AF0" w14:textId="77777777" w:rsidR="007557B3" w:rsidRDefault="007557B3" w:rsidP="007557B3">
            <w:pPr>
              <w:pStyle w:val="TAH"/>
            </w:pPr>
          </w:p>
        </w:tc>
        <w:tc>
          <w:tcPr>
            <w:tcW w:w="1275" w:type="dxa"/>
            <w:vMerge/>
          </w:tcPr>
          <w:p w14:paraId="0E2A952C" w14:textId="77777777" w:rsidR="007557B3" w:rsidRDefault="007557B3" w:rsidP="007557B3">
            <w:pPr>
              <w:pStyle w:val="TAH"/>
            </w:pPr>
          </w:p>
        </w:tc>
        <w:tc>
          <w:tcPr>
            <w:tcW w:w="1418" w:type="dxa"/>
          </w:tcPr>
          <w:p w14:paraId="12A9845E" w14:textId="05086BBB" w:rsidR="007557B3" w:rsidRDefault="007557B3" w:rsidP="007557B3">
            <w:pPr>
              <w:pStyle w:val="TAH"/>
            </w:pPr>
            <w:r w:rsidRPr="007557B3">
              <w:t>1610-1618.25</w:t>
            </w:r>
            <w:r>
              <w:t xml:space="preserve"> MHz</w:t>
            </w:r>
          </w:p>
        </w:tc>
        <w:tc>
          <w:tcPr>
            <w:tcW w:w="1559" w:type="dxa"/>
          </w:tcPr>
          <w:p w14:paraId="0C47BECA" w14:textId="0288D660" w:rsidR="007557B3" w:rsidRDefault="007557B3" w:rsidP="007557B3">
            <w:pPr>
              <w:pStyle w:val="TAH"/>
            </w:pPr>
            <w:r w:rsidRPr="007557B3">
              <w:t>1618.25-1626.5</w:t>
            </w:r>
            <w:r>
              <w:t xml:space="preserve"> MHz</w:t>
            </w:r>
          </w:p>
        </w:tc>
        <w:tc>
          <w:tcPr>
            <w:tcW w:w="4391" w:type="dxa"/>
            <w:vMerge/>
          </w:tcPr>
          <w:p w14:paraId="376F02CB" w14:textId="77777777" w:rsidR="007557B3" w:rsidRDefault="007557B3" w:rsidP="007557B3">
            <w:pPr>
              <w:pStyle w:val="TAC"/>
            </w:pPr>
          </w:p>
        </w:tc>
      </w:tr>
      <w:tr w:rsidR="007557B3" w14:paraId="199B115F" w14:textId="77777777" w:rsidTr="00133D4D">
        <w:tc>
          <w:tcPr>
            <w:tcW w:w="988" w:type="dxa"/>
          </w:tcPr>
          <w:p w14:paraId="5DB7CAE7" w14:textId="73AA2EE8" w:rsidR="007557B3" w:rsidRDefault="007557B3" w:rsidP="007557B3">
            <w:pPr>
              <w:pStyle w:val="TAC"/>
            </w:pPr>
            <w:r>
              <w:t>12</w:t>
            </w:r>
          </w:p>
        </w:tc>
        <w:tc>
          <w:tcPr>
            <w:tcW w:w="1275" w:type="dxa"/>
          </w:tcPr>
          <w:p w14:paraId="6EEFF87A" w14:textId="5793C7FD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418" w:type="dxa"/>
          </w:tcPr>
          <w:p w14:paraId="071C4421" w14:textId="5B6C0CA6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559" w:type="dxa"/>
          </w:tcPr>
          <w:p w14:paraId="626E575D" w14:textId="5B2E310B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4391" w:type="dxa"/>
          </w:tcPr>
          <w:p w14:paraId="3E1A7F86" w14:textId="55B74CDD" w:rsidR="007557B3" w:rsidRDefault="007557B3" w:rsidP="00436AFC">
            <w:pPr>
              <w:pStyle w:val="TAC"/>
              <w:jc w:val="left"/>
            </w:pPr>
            <w:r>
              <w:t xml:space="preserve">Full RB </w:t>
            </w:r>
            <w:r w:rsidR="00133D4D">
              <w:t xml:space="preserve">12-tone </w:t>
            </w:r>
            <w:r>
              <w:t>allocation</w:t>
            </w:r>
          </w:p>
        </w:tc>
      </w:tr>
      <w:tr w:rsidR="007557B3" w14:paraId="4D6F9E21" w14:textId="77777777" w:rsidTr="00133D4D">
        <w:tc>
          <w:tcPr>
            <w:tcW w:w="988" w:type="dxa"/>
          </w:tcPr>
          <w:p w14:paraId="6CF62D3F" w14:textId="62D67B4E" w:rsidR="007557B3" w:rsidRDefault="007557B3" w:rsidP="007557B3">
            <w:pPr>
              <w:pStyle w:val="TAC"/>
            </w:pPr>
            <w:r>
              <w:t>6</w:t>
            </w:r>
          </w:p>
        </w:tc>
        <w:tc>
          <w:tcPr>
            <w:tcW w:w="1275" w:type="dxa"/>
          </w:tcPr>
          <w:p w14:paraId="3B32AB85" w14:textId="161C4CB0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418" w:type="dxa"/>
          </w:tcPr>
          <w:p w14:paraId="21EADADF" w14:textId="29746795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559" w:type="dxa"/>
          </w:tcPr>
          <w:p w14:paraId="49DB506A" w14:textId="18D774AC" w:rsidR="007557B3" w:rsidRDefault="007557B3" w:rsidP="007557B3">
            <w:pPr>
              <w:pStyle w:val="TAC"/>
            </w:pPr>
            <w:r>
              <w:t>1</w:t>
            </w:r>
          </w:p>
        </w:tc>
        <w:tc>
          <w:tcPr>
            <w:tcW w:w="4391" w:type="dxa"/>
          </w:tcPr>
          <w:p w14:paraId="7DA8BD35" w14:textId="307CF114" w:rsidR="007557B3" w:rsidRDefault="00436AFC" w:rsidP="00436AFC">
            <w:pPr>
              <w:pStyle w:val="TAC"/>
              <w:jc w:val="left"/>
            </w:pPr>
            <w:r>
              <w:t>0-5 and 6-11</w:t>
            </w:r>
            <w:r w:rsidR="00133D4D">
              <w:t xml:space="preserve"> tones</w:t>
            </w:r>
          </w:p>
        </w:tc>
      </w:tr>
      <w:tr w:rsidR="007557B3" w14:paraId="72F9F53D" w14:textId="77777777" w:rsidTr="00133D4D">
        <w:tc>
          <w:tcPr>
            <w:tcW w:w="988" w:type="dxa"/>
          </w:tcPr>
          <w:p w14:paraId="4E1225D7" w14:textId="59455772" w:rsidR="007557B3" w:rsidRDefault="007557B3" w:rsidP="007557B3">
            <w:pPr>
              <w:pStyle w:val="TAC"/>
            </w:pPr>
            <w:r>
              <w:t>3</w:t>
            </w:r>
          </w:p>
        </w:tc>
        <w:tc>
          <w:tcPr>
            <w:tcW w:w="1275" w:type="dxa"/>
          </w:tcPr>
          <w:p w14:paraId="29427862" w14:textId="1CA3B950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418" w:type="dxa"/>
          </w:tcPr>
          <w:p w14:paraId="761101D1" w14:textId="2657DB6B" w:rsidR="007557B3" w:rsidRDefault="007557B3" w:rsidP="007557B3">
            <w:pPr>
              <w:pStyle w:val="TAC"/>
            </w:pPr>
            <w:r>
              <w:t>0.5</w:t>
            </w:r>
          </w:p>
        </w:tc>
        <w:tc>
          <w:tcPr>
            <w:tcW w:w="1559" w:type="dxa"/>
          </w:tcPr>
          <w:p w14:paraId="057FB44D" w14:textId="7F4289CA" w:rsidR="007557B3" w:rsidRDefault="007557B3" w:rsidP="007557B3">
            <w:pPr>
              <w:pStyle w:val="TAC"/>
            </w:pPr>
            <w:r>
              <w:t>1.5</w:t>
            </w:r>
          </w:p>
        </w:tc>
        <w:tc>
          <w:tcPr>
            <w:tcW w:w="4391" w:type="dxa"/>
          </w:tcPr>
          <w:p w14:paraId="0F34ADBD" w14:textId="44395D90" w:rsidR="007557B3" w:rsidRDefault="00436AFC" w:rsidP="00436AFC">
            <w:pPr>
              <w:pStyle w:val="TAC"/>
              <w:jc w:val="left"/>
            </w:pPr>
            <w:r>
              <w:t>0-2 and 9-11</w:t>
            </w:r>
            <w:r w:rsidR="00133D4D">
              <w:t xml:space="preserve"> tones</w:t>
            </w:r>
          </w:p>
        </w:tc>
      </w:tr>
      <w:tr w:rsidR="007557B3" w14:paraId="731AF207" w14:textId="77777777" w:rsidTr="00133D4D">
        <w:tc>
          <w:tcPr>
            <w:tcW w:w="988" w:type="dxa"/>
          </w:tcPr>
          <w:p w14:paraId="6F2A6C0A" w14:textId="4649A50D" w:rsidR="007557B3" w:rsidRDefault="007557B3" w:rsidP="007557B3">
            <w:pPr>
              <w:pStyle w:val="TAC"/>
            </w:pPr>
            <w:r>
              <w:t>1</w:t>
            </w:r>
          </w:p>
        </w:tc>
        <w:tc>
          <w:tcPr>
            <w:tcW w:w="1275" w:type="dxa"/>
          </w:tcPr>
          <w:p w14:paraId="497FA608" w14:textId="71B68243" w:rsidR="007557B3" w:rsidRDefault="007557B3" w:rsidP="007557B3">
            <w:pPr>
              <w:pStyle w:val="TAC"/>
            </w:pPr>
            <w:r>
              <w:t>0</w:t>
            </w:r>
          </w:p>
        </w:tc>
        <w:tc>
          <w:tcPr>
            <w:tcW w:w="1418" w:type="dxa"/>
          </w:tcPr>
          <w:p w14:paraId="4111580C" w14:textId="01B03AF5" w:rsidR="007557B3" w:rsidRDefault="007557B3" w:rsidP="007557B3">
            <w:pPr>
              <w:pStyle w:val="TAC"/>
            </w:pPr>
            <w:r>
              <w:t>2</w:t>
            </w:r>
          </w:p>
        </w:tc>
        <w:tc>
          <w:tcPr>
            <w:tcW w:w="1559" w:type="dxa"/>
          </w:tcPr>
          <w:p w14:paraId="516BA7B7" w14:textId="60D26ACB" w:rsidR="007557B3" w:rsidRDefault="007557B3" w:rsidP="007557B3">
            <w:pPr>
              <w:pStyle w:val="TAC"/>
            </w:pPr>
            <w:r>
              <w:t>2</w:t>
            </w:r>
          </w:p>
        </w:tc>
        <w:tc>
          <w:tcPr>
            <w:tcW w:w="4391" w:type="dxa"/>
          </w:tcPr>
          <w:p w14:paraId="2A0DEBC7" w14:textId="28D95511" w:rsidR="007557B3" w:rsidRDefault="00436AFC" w:rsidP="00436AFC">
            <w:pPr>
              <w:pStyle w:val="TAC"/>
              <w:jc w:val="left"/>
            </w:pPr>
            <w:r>
              <w:t xml:space="preserve">2dB A-MPR is applied </w:t>
            </w:r>
            <w:r w:rsidR="00133D4D">
              <w:t xml:space="preserve">to ETSI </w:t>
            </w:r>
            <w:r>
              <w:t>because of the existing -15dB</w:t>
            </w:r>
            <w:r w:rsidR="001C4C5A">
              <w:t>W</w:t>
            </w:r>
            <w:r>
              <w:t>/4kHz limit, i.e. 21.3dBm/15kHz</w:t>
            </w:r>
          </w:p>
        </w:tc>
      </w:tr>
    </w:tbl>
    <w:p w14:paraId="63E85000" w14:textId="0B58D44F" w:rsidR="00BF6A95" w:rsidRPr="00BF6A95" w:rsidRDefault="007557B3" w:rsidP="00BF6A95">
      <w:r>
        <w:t xml:space="preserve"> </w:t>
      </w:r>
    </w:p>
    <w:p w14:paraId="4D4369E9" w14:textId="262D57DF" w:rsidR="00BF6A95" w:rsidRDefault="00133D4D" w:rsidP="00133D4D">
      <w:r>
        <w:t>And for the sake of completeness, Figure 2-1 below also presents the corresponding spectrum plots for FCC and ETSI with the corresponding in-band emission masks.</w:t>
      </w:r>
    </w:p>
    <w:p w14:paraId="2552CF70" w14:textId="3E6B0DC2" w:rsidR="00133D4D" w:rsidRDefault="00397A5B" w:rsidP="00133D4D">
      <w:r w:rsidRPr="00397A5B">
        <w:rPr>
          <w:noProof/>
        </w:rPr>
        <w:lastRenderedPageBreak/>
        <w:drawing>
          <wp:inline distT="0" distB="0" distL="0" distR="0" wp14:anchorId="05A36D07" wp14:editId="778126D3">
            <wp:extent cx="1954800" cy="1602000"/>
            <wp:effectExtent l="0" t="0" r="1270" b="0"/>
            <wp:docPr id="1406481960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481960" name="Picture 1" descr="A graph of a frequency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4800" cy="16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97A5B">
        <w:rPr>
          <w:noProof/>
        </w:rPr>
        <w:drawing>
          <wp:inline distT="0" distB="0" distL="0" distR="0" wp14:anchorId="2BFBA76A" wp14:editId="7B735D22">
            <wp:extent cx="4078800" cy="1627200"/>
            <wp:effectExtent l="0" t="0" r="0" b="0"/>
            <wp:docPr id="14127608" name="Picture 1" descr="A graph of a graph of a graph of a graph of a graph of a graph of a graph of a graph of a graph of a graph of a graph of a graph of a graph of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7608" name="Picture 1" descr="A graph of a graph of a graph of a graph of a graph of a graph of a graph of a graph of a graph of a graph of a graph of a graph of a graph of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8800" cy="16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C92F9" w14:textId="66E263E8" w:rsidR="00397A5B" w:rsidRDefault="00397A5B" w:rsidP="00397A5B">
      <w:pPr>
        <w:pStyle w:val="TF"/>
      </w:pPr>
      <w:r>
        <w:t>Figure 2-1: 12-tone spectrum plots (FCC, ETSI sub-range 1 and 2)</w:t>
      </w:r>
    </w:p>
    <w:p w14:paraId="591524FA" w14:textId="77777777" w:rsidR="00397A5B" w:rsidRDefault="00397A5B" w:rsidP="00133D4D"/>
    <w:p w14:paraId="614BCD18" w14:textId="124F0E6A" w:rsidR="00397A5B" w:rsidRDefault="00397A5B" w:rsidP="00133D4D">
      <w:r w:rsidRPr="00397A5B">
        <w:rPr>
          <w:noProof/>
        </w:rPr>
        <w:drawing>
          <wp:inline distT="0" distB="0" distL="0" distR="0" wp14:anchorId="35278585" wp14:editId="3B3C5588">
            <wp:extent cx="1933200" cy="1573200"/>
            <wp:effectExtent l="0" t="0" r="0" b="1905"/>
            <wp:docPr id="672934706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934706" name="Picture 1" descr="A graph of a frequency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397A5B">
        <w:rPr>
          <w:noProof/>
        </w:rPr>
        <w:drawing>
          <wp:inline distT="0" distB="0" distL="0" distR="0" wp14:anchorId="7DE8B618" wp14:editId="060B1128">
            <wp:extent cx="4082400" cy="1594800"/>
            <wp:effectExtent l="0" t="0" r="0" b="5715"/>
            <wp:docPr id="68018043" name="Picture 1" descr="A graph of a graph of power and pow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18043" name="Picture 1" descr="A graph of a graph of power and pow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2400" cy="15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FBCA2" w14:textId="6623ACB4" w:rsidR="00397A5B" w:rsidRDefault="00397A5B" w:rsidP="00397A5B">
      <w:pPr>
        <w:pStyle w:val="TF"/>
      </w:pPr>
      <w:r>
        <w:t>Figure 2-2: 6-tone spectrum plots (FCC, ETSI sub-range 1 and 2)</w:t>
      </w:r>
    </w:p>
    <w:p w14:paraId="2CD073A7" w14:textId="77777777" w:rsidR="00397A5B" w:rsidRDefault="00397A5B" w:rsidP="00133D4D"/>
    <w:p w14:paraId="09FD2ACD" w14:textId="4F2CD936" w:rsidR="00397A5B" w:rsidRDefault="00397A5B" w:rsidP="00133D4D">
      <w:r w:rsidRPr="00397A5B">
        <w:rPr>
          <w:noProof/>
        </w:rPr>
        <w:drawing>
          <wp:inline distT="0" distB="0" distL="0" distR="0" wp14:anchorId="36338649" wp14:editId="672A891D">
            <wp:extent cx="1954800" cy="1594800"/>
            <wp:effectExtent l="0" t="0" r="1270" b="5715"/>
            <wp:docPr id="969649538" name="Picture 1" descr="A graph of a frequenc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649538" name="Picture 1" descr="A graph of a frequency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4800" cy="15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397A5B">
        <w:rPr>
          <w:noProof/>
        </w:rPr>
        <w:drawing>
          <wp:inline distT="0" distB="0" distL="0" distR="0" wp14:anchorId="71F6CB63" wp14:editId="0695DCCA">
            <wp:extent cx="3945600" cy="1591200"/>
            <wp:effectExtent l="0" t="0" r="4445" b="0"/>
            <wp:docPr id="143568896" name="Picture 1" descr="A graph of a graph of a graph of a graph of a graph of a graph of a graph of a graph of a graph of a graph of a graph of a graph of a graph of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8896" name="Picture 1" descr="A graph of a graph of a graph of a graph of a graph of a graph of a graph of a graph of a graph of a graph of a graph of a graph of a graph of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5600" cy="15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FCBC2" w14:textId="32232E60" w:rsidR="00397A5B" w:rsidRDefault="00397A5B" w:rsidP="00397A5B">
      <w:pPr>
        <w:pStyle w:val="TF"/>
      </w:pPr>
      <w:r>
        <w:t>Figure 2-</w:t>
      </w:r>
      <w:r w:rsidR="00282A2C">
        <w:t>3</w:t>
      </w:r>
      <w:r>
        <w:t>: 3-tone spectrum plots (FCC, ETSI sub-range 1 and 2)</w:t>
      </w:r>
    </w:p>
    <w:p w14:paraId="433E3E29" w14:textId="107E1A3B" w:rsidR="00397A5B" w:rsidRDefault="00FC13B0" w:rsidP="00133D4D">
      <w:r>
        <w:t>Based on the presented power back-off results we suggest defining the corresponding A-MPR values for the NB-IOT operation in band 254. As for the 1-tone allocations, 2dB A</w:t>
      </w:r>
      <w:r w:rsidR="00FC68BC">
        <w:t>-</w:t>
      </w:r>
      <w:r>
        <w:t xml:space="preserve">MPR can be revised if 3GPP concludes that -15dBW/4kHz does not have to be always applied, as discussed in </w:t>
      </w:r>
      <w:r w:rsidR="00444CE2">
        <w:fldChar w:fldCharType="begin"/>
      </w:r>
      <w:r w:rsidR="00444CE2">
        <w:instrText xml:space="preserve"> REF _Ref197706010 \r \h </w:instrText>
      </w:r>
      <w:r w:rsidR="00444CE2">
        <w:fldChar w:fldCharType="separate"/>
      </w:r>
      <w:r w:rsidR="00444CE2">
        <w:t>[5]</w:t>
      </w:r>
      <w:r w:rsidR="00444CE2">
        <w:fldChar w:fldCharType="end"/>
      </w:r>
      <w:r>
        <w:t xml:space="preserve">. </w:t>
      </w:r>
    </w:p>
    <w:p w14:paraId="54B766FD" w14:textId="4365FE92" w:rsidR="002D5E54" w:rsidRPr="00FC13B0" w:rsidRDefault="002D5E54" w:rsidP="00FC13B0">
      <w:pPr>
        <w:pStyle w:val="Proposal"/>
      </w:pPr>
      <w:bookmarkStart w:id="1" w:name="_Toc197706377"/>
      <w:bookmarkStart w:id="2" w:name="_Toc197706997"/>
      <w:r w:rsidRPr="00FC13B0">
        <w:t xml:space="preserve">Proposal </w:t>
      </w:r>
      <w:r w:rsidR="006548FC" w:rsidRPr="00FC13B0">
        <w:t>1</w:t>
      </w:r>
      <w:r w:rsidRPr="00FC13B0">
        <w:t>:</w:t>
      </w:r>
      <w:r w:rsidRPr="00FC13B0">
        <w:tab/>
      </w:r>
      <w:r w:rsidR="00FC13B0" w:rsidRPr="00FC13B0">
        <w:t>Adopt A-MPR value</w:t>
      </w:r>
      <w:r w:rsidR="00CD38F4">
        <w:t>s</w:t>
      </w:r>
      <w:r w:rsidR="00FC13B0" w:rsidRPr="00FC13B0">
        <w:t xml:space="preserve"> for band 254 </w:t>
      </w:r>
      <w:r w:rsidR="000F3904">
        <w:t>based on results presented</w:t>
      </w:r>
      <w:r w:rsidR="00FC13B0" w:rsidRPr="00FC13B0">
        <w:t xml:space="preserve"> Table 2-1</w:t>
      </w:r>
      <w:r w:rsidRPr="00FC13B0">
        <w:t>.</w:t>
      </w:r>
      <w:bookmarkEnd w:id="1"/>
      <w:bookmarkEnd w:id="2"/>
    </w:p>
    <w:p w14:paraId="23EE9C1F" w14:textId="195E1BAE" w:rsidR="00FC13B0" w:rsidRPr="00FC13B0" w:rsidRDefault="00FC13B0" w:rsidP="00FC13B0">
      <w:pPr>
        <w:pStyle w:val="Proposal"/>
      </w:pPr>
      <w:bookmarkStart w:id="3" w:name="_Toc197706378"/>
      <w:bookmarkStart w:id="4" w:name="_Toc197706998"/>
      <w:r w:rsidRPr="00FC13B0">
        <w:t>Proposal 2:</w:t>
      </w:r>
      <w:r w:rsidRPr="00FC13B0">
        <w:tab/>
        <w:t xml:space="preserve">1-tone A-MPR can be revised further if 3GPP concludes that we do not need to follow </w:t>
      </w:r>
      <w:r w:rsidR="005F6CF9">
        <w:t xml:space="preserve">(always) </w:t>
      </w:r>
      <w:r w:rsidRPr="00FC13B0">
        <w:t>the existing -15dBW/4kHz PSD threshold.</w:t>
      </w:r>
      <w:bookmarkEnd w:id="3"/>
      <w:bookmarkEnd w:id="4"/>
      <w:r w:rsidRPr="00FC13B0">
        <w:t xml:space="preserve"> </w:t>
      </w:r>
    </w:p>
    <w:p w14:paraId="6C5EA4EE" w14:textId="77777777" w:rsidR="00D770BA" w:rsidRDefault="00D770BA" w:rsidP="00D770BA">
      <w:pPr>
        <w:pStyle w:val="B1"/>
        <w:ind w:left="0" w:firstLine="0"/>
      </w:pPr>
    </w:p>
    <w:p w14:paraId="5F40C4F5" w14:textId="77777777" w:rsidR="00D770BA" w:rsidRDefault="00D770BA" w:rsidP="00D770BA">
      <w:pPr>
        <w:pStyle w:val="B1"/>
        <w:ind w:left="0" w:firstLine="0"/>
      </w:pPr>
    </w:p>
    <w:p w14:paraId="2F5CE5C2" w14:textId="77777777" w:rsidR="00D770BA" w:rsidRDefault="00D770BA" w:rsidP="00D770BA">
      <w:pPr>
        <w:pStyle w:val="B1"/>
        <w:ind w:left="0" w:firstLine="0"/>
      </w:pPr>
    </w:p>
    <w:p w14:paraId="52F1F75F" w14:textId="77777777" w:rsidR="00D770BA" w:rsidRDefault="00D770BA" w:rsidP="00D770BA">
      <w:pPr>
        <w:pStyle w:val="B1"/>
        <w:ind w:left="0" w:firstLine="0"/>
      </w:pPr>
    </w:p>
    <w:p w14:paraId="788D878D" w14:textId="77777777" w:rsidR="00D770BA" w:rsidRDefault="00D770BA" w:rsidP="00D770BA">
      <w:pPr>
        <w:pStyle w:val="B1"/>
        <w:ind w:left="0" w:firstLine="0"/>
      </w:pPr>
    </w:p>
    <w:p w14:paraId="34740311" w14:textId="22C84861" w:rsidR="00DC0095" w:rsidRPr="00DC0095" w:rsidRDefault="00DC0095" w:rsidP="00D770BA">
      <w:pPr>
        <w:pStyle w:val="B1"/>
        <w:ind w:left="0" w:firstLine="0"/>
      </w:pPr>
      <w:r>
        <w:lastRenderedPageBreak/>
        <w:t xml:space="preserve">  </w:t>
      </w: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14E3112" w14:textId="6E1AFAC7" w:rsidR="004902DB" w:rsidRPr="003767E7" w:rsidRDefault="00444CE2" w:rsidP="002D5E54">
      <w:r>
        <w:t xml:space="preserve">In this discussion paper we presented our power back-off simulation results for the NTN NB-IOT operating in the band 254 frequency range. According to our results, some A-MPR is needed for a case when a UE operates under ETSI regulations and is scheduled with fewer than 12 tones, whereupon ETSI sub-range 2 requires slightly higher A-MPR because of a more stringent in-band emission mask. As for the 1-tone allocation, fixed 2dB A-MPR is applied due to the existing -15dBW/4kHz PSD limit, subject for further discussions in 3GPP. </w:t>
      </w:r>
    </w:p>
    <w:p w14:paraId="102A2DE2" w14:textId="77777777" w:rsidR="00CD38F4" w:rsidRDefault="00CD38F4" w:rsidP="00CD38F4"/>
    <w:p w14:paraId="320B620F" w14:textId="77777777" w:rsidR="005F6CF9" w:rsidRDefault="00CD38F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F6CF9">
        <w:rPr>
          <w:noProof/>
        </w:rPr>
        <w:t>Proposal 1:</w:t>
      </w:r>
      <w:r w:rsidR="005F6CF9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5F6CF9">
        <w:rPr>
          <w:noProof/>
        </w:rPr>
        <w:t>Adopt A-MPR values for band 254 based on results presented Table 2-1.</w:t>
      </w:r>
    </w:p>
    <w:p w14:paraId="79BD996F" w14:textId="77777777" w:rsidR="005F6CF9" w:rsidRDefault="005F6CF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1-tone A-MPR can be revised further if 3GPP concludes that we do not need to follow (always) the existing -15dBW/4kHz PSD threshold.</w:t>
      </w:r>
    </w:p>
    <w:p w14:paraId="6D0DED47" w14:textId="79B43C2B" w:rsidR="002D16A6" w:rsidRDefault="00CD38F4" w:rsidP="00CD38F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end"/>
      </w:r>
      <w:r w:rsidR="00B12ADA" w:rsidRPr="00477364">
        <w:rPr>
          <w:b w:val="0"/>
          <w:bCs w:val="0"/>
        </w:rPr>
        <w:fldChar w:fldCharType="begin"/>
      </w:r>
      <w:r w:rsidR="00B12ADA" w:rsidRPr="00477364">
        <w:rPr>
          <w:b w:val="0"/>
          <w:bCs w:val="0"/>
        </w:rPr>
        <w:instrText xml:space="preserve"> TOC \n \t "Proposal,1" </w:instrText>
      </w:r>
      <w:r w:rsidR="00B12ADA"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5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5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6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6"/>
    </w:p>
    <w:p w14:paraId="0667E82B" w14:textId="14C8CAFF" w:rsidR="00162134" w:rsidRDefault="00162134" w:rsidP="00FF5898">
      <w:pPr>
        <w:pStyle w:val="EX"/>
        <w:numPr>
          <w:ilvl w:val="0"/>
          <w:numId w:val="5"/>
        </w:numPr>
      </w:pPr>
      <w:bookmarkStart w:id="7" w:name="_Ref197690259"/>
      <w:r w:rsidRPr="00162134">
        <w:t>RP-230792</w:t>
      </w:r>
      <w:r>
        <w:t>, "</w:t>
      </w:r>
      <w:r w:rsidRPr="00162134">
        <w:t>New WI</w:t>
      </w:r>
      <w:r>
        <w:t>D</w:t>
      </w:r>
      <w:r w:rsidRPr="00162134">
        <w:t>: FDD LTE band (L+S band) for IoT NTN operation</w:t>
      </w:r>
      <w:r>
        <w:t>", MediaTek</w:t>
      </w:r>
      <w:bookmarkEnd w:id="7"/>
    </w:p>
    <w:p w14:paraId="4F3BD7E6" w14:textId="370F3CFF" w:rsidR="00FC68BC" w:rsidRDefault="00F55516" w:rsidP="00FC68BC">
      <w:pPr>
        <w:pStyle w:val="EX"/>
      </w:pPr>
      <w:bookmarkStart w:id="8" w:name="_Ref196749295"/>
      <w:r w:rsidRPr="00F55516">
        <w:t>RP-242415</w:t>
      </w:r>
      <w:r>
        <w:t>, "</w:t>
      </w:r>
      <w:r w:rsidRPr="00F55516">
        <w:t>New WID for introduction of IoT-NTN TDD mode</w:t>
      </w:r>
      <w:r>
        <w:t>", Iridium Satellite LLC</w:t>
      </w:r>
      <w:bookmarkEnd w:id="8"/>
    </w:p>
    <w:p w14:paraId="6B127CF0" w14:textId="065C2D13" w:rsidR="00FC68BC" w:rsidRDefault="00444CE2" w:rsidP="00FC68BC">
      <w:pPr>
        <w:pStyle w:val="EX"/>
      </w:pPr>
      <w:bookmarkStart w:id="9" w:name="_Ref197706010"/>
      <w:r w:rsidRPr="00444CE2">
        <w:t>R4-2505407</w:t>
      </w:r>
      <w:r>
        <w:t>, "</w:t>
      </w:r>
      <w:r w:rsidRPr="00444CE2">
        <w:t>Clarification for the PSD limits for a UE operating in 1610-1626.5 MHz frequency range</w:t>
      </w:r>
      <w:r>
        <w:t>", Apple, Globalstar</w:t>
      </w:r>
      <w:bookmarkEnd w:id="0"/>
      <w:bookmarkEnd w:id="9"/>
    </w:p>
    <w:sectPr w:rsidR="00FC68BC" w:rsidSect="004B5470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2321A" w14:textId="77777777" w:rsidR="006B5DD8" w:rsidRDefault="006B5DD8">
      <w:r>
        <w:separator/>
      </w:r>
    </w:p>
  </w:endnote>
  <w:endnote w:type="continuationSeparator" w:id="0">
    <w:p w14:paraId="28CD4B77" w14:textId="77777777" w:rsidR="006B5DD8" w:rsidRDefault="006B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5078" w14:textId="77777777" w:rsidR="006B5DD8" w:rsidRDefault="006B5DD8">
      <w:r>
        <w:separator/>
      </w:r>
    </w:p>
  </w:footnote>
  <w:footnote w:type="continuationSeparator" w:id="0">
    <w:p w14:paraId="0F8C0FD9" w14:textId="77777777" w:rsidR="006B5DD8" w:rsidRDefault="006B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0C47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3A0E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D3C"/>
    <w:rsid w:val="000C7248"/>
    <w:rsid w:val="000C7F55"/>
    <w:rsid w:val="000D28CD"/>
    <w:rsid w:val="000D5095"/>
    <w:rsid w:val="000D58AB"/>
    <w:rsid w:val="000D7B92"/>
    <w:rsid w:val="000E023D"/>
    <w:rsid w:val="000E3ACF"/>
    <w:rsid w:val="000E7F52"/>
    <w:rsid w:val="000F3904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3D4D"/>
    <w:rsid w:val="001378AC"/>
    <w:rsid w:val="00141DDF"/>
    <w:rsid w:val="001502E3"/>
    <w:rsid w:val="00150344"/>
    <w:rsid w:val="001527DF"/>
    <w:rsid w:val="00153861"/>
    <w:rsid w:val="00161A9C"/>
    <w:rsid w:val="00162134"/>
    <w:rsid w:val="00162B64"/>
    <w:rsid w:val="00164651"/>
    <w:rsid w:val="00171755"/>
    <w:rsid w:val="00173178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C39DF"/>
    <w:rsid w:val="001C4C5A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118C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2A2C"/>
    <w:rsid w:val="0028458C"/>
    <w:rsid w:val="00285549"/>
    <w:rsid w:val="00285B74"/>
    <w:rsid w:val="00287759"/>
    <w:rsid w:val="00293332"/>
    <w:rsid w:val="00296216"/>
    <w:rsid w:val="002A006D"/>
    <w:rsid w:val="002A02C9"/>
    <w:rsid w:val="002A3F44"/>
    <w:rsid w:val="002A4457"/>
    <w:rsid w:val="002A76C8"/>
    <w:rsid w:val="002A79F8"/>
    <w:rsid w:val="002B0881"/>
    <w:rsid w:val="002B1504"/>
    <w:rsid w:val="002B160B"/>
    <w:rsid w:val="002B32C6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5E54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0423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4C09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7547"/>
    <w:rsid w:val="00397A5B"/>
    <w:rsid w:val="003A0483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086C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171D8"/>
    <w:rsid w:val="0042139E"/>
    <w:rsid w:val="00421933"/>
    <w:rsid w:val="0042311F"/>
    <w:rsid w:val="00423334"/>
    <w:rsid w:val="00427772"/>
    <w:rsid w:val="00430D10"/>
    <w:rsid w:val="00434540"/>
    <w:rsid w:val="004345EC"/>
    <w:rsid w:val="00436AFC"/>
    <w:rsid w:val="00443B1F"/>
    <w:rsid w:val="00444CE2"/>
    <w:rsid w:val="0044760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5794"/>
    <w:rsid w:val="00476248"/>
    <w:rsid w:val="004826A9"/>
    <w:rsid w:val="004837BD"/>
    <w:rsid w:val="00485965"/>
    <w:rsid w:val="0048636D"/>
    <w:rsid w:val="00487E97"/>
    <w:rsid w:val="004902DB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53B"/>
    <w:rsid w:val="004C7B37"/>
    <w:rsid w:val="004D1FEB"/>
    <w:rsid w:val="004D3578"/>
    <w:rsid w:val="004E213A"/>
    <w:rsid w:val="004E27ED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0A6E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840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084E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2F25"/>
    <w:rsid w:val="005D4624"/>
    <w:rsid w:val="005D509B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CF9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2648"/>
    <w:rsid w:val="006246A7"/>
    <w:rsid w:val="0062595A"/>
    <w:rsid w:val="00627B99"/>
    <w:rsid w:val="0063275B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548FC"/>
    <w:rsid w:val="006609E5"/>
    <w:rsid w:val="006633B2"/>
    <w:rsid w:val="00667FCD"/>
    <w:rsid w:val="0067193B"/>
    <w:rsid w:val="00673EF2"/>
    <w:rsid w:val="006777F3"/>
    <w:rsid w:val="0067782A"/>
    <w:rsid w:val="00677B76"/>
    <w:rsid w:val="006800C1"/>
    <w:rsid w:val="00681572"/>
    <w:rsid w:val="00682719"/>
    <w:rsid w:val="00690E24"/>
    <w:rsid w:val="00691014"/>
    <w:rsid w:val="0069101C"/>
    <w:rsid w:val="00695ACB"/>
    <w:rsid w:val="0069676C"/>
    <w:rsid w:val="006974B3"/>
    <w:rsid w:val="006A323F"/>
    <w:rsid w:val="006A4C43"/>
    <w:rsid w:val="006A5B00"/>
    <w:rsid w:val="006B30D0"/>
    <w:rsid w:val="006B5DD8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3C8B"/>
    <w:rsid w:val="006E58C5"/>
    <w:rsid w:val="006E5C86"/>
    <w:rsid w:val="006F32C4"/>
    <w:rsid w:val="006F4144"/>
    <w:rsid w:val="006F4483"/>
    <w:rsid w:val="006F771B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57B3"/>
    <w:rsid w:val="007579E3"/>
    <w:rsid w:val="00760AA3"/>
    <w:rsid w:val="00761DA3"/>
    <w:rsid w:val="00764DB5"/>
    <w:rsid w:val="007651E9"/>
    <w:rsid w:val="00765C1A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2EB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46829"/>
    <w:rsid w:val="0085063B"/>
    <w:rsid w:val="00850EF7"/>
    <w:rsid w:val="00854961"/>
    <w:rsid w:val="008621D8"/>
    <w:rsid w:val="00863C72"/>
    <w:rsid w:val="00866877"/>
    <w:rsid w:val="00866E39"/>
    <w:rsid w:val="00872482"/>
    <w:rsid w:val="0087410B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236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67A"/>
    <w:rsid w:val="00914CEF"/>
    <w:rsid w:val="00914DDA"/>
    <w:rsid w:val="00917CCB"/>
    <w:rsid w:val="009205B7"/>
    <w:rsid w:val="00920C02"/>
    <w:rsid w:val="009219A3"/>
    <w:rsid w:val="00922B2F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0686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26B"/>
    <w:rsid w:val="00992F90"/>
    <w:rsid w:val="009938F4"/>
    <w:rsid w:val="009945E1"/>
    <w:rsid w:val="00996490"/>
    <w:rsid w:val="009A1316"/>
    <w:rsid w:val="009A2471"/>
    <w:rsid w:val="009A598E"/>
    <w:rsid w:val="009B2332"/>
    <w:rsid w:val="009B2BF8"/>
    <w:rsid w:val="009B65C0"/>
    <w:rsid w:val="009C067E"/>
    <w:rsid w:val="009C2464"/>
    <w:rsid w:val="009C2C1B"/>
    <w:rsid w:val="009C5E4C"/>
    <w:rsid w:val="009D0852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527"/>
    <w:rsid w:val="00A1260C"/>
    <w:rsid w:val="00A15BD4"/>
    <w:rsid w:val="00A164B4"/>
    <w:rsid w:val="00A200FA"/>
    <w:rsid w:val="00A20B73"/>
    <w:rsid w:val="00A243C8"/>
    <w:rsid w:val="00A26956"/>
    <w:rsid w:val="00A26B8E"/>
    <w:rsid w:val="00A3020A"/>
    <w:rsid w:val="00A309A6"/>
    <w:rsid w:val="00A3236C"/>
    <w:rsid w:val="00A32451"/>
    <w:rsid w:val="00A36357"/>
    <w:rsid w:val="00A42D4C"/>
    <w:rsid w:val="00A44F7F"/>
    <w:rsid w:val="00A5077F"/>
    <w:rsid w:val="00A52241"/>
    <w:rsid w:val="00A53724"/>
    <w:rsid w:val="00A54887"/>
    <w:rsid w:val="00A556DB"/>
    <w:rsid w:val="00A63895"/>
    <w:rsid w:val="00A6585D"/>
    <w:rsid w:val="00A668EA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913"/>
    <w:rsid w:val="00AC6BC6"/>
    <w:rsid w:val="00AD30A9"/>
    <w:rsid w:val="00AD32F4"/>
    <w:rsid w:val="00AD3CE6"/>
    <w:rsid w:val="00AD7733"/>
    <w:rsid w:val="00AE24D1"/>
    <w:rsid w:val="00AE2B28"/>
    <w:rsid w:val="00AE2C35"/>
    <w:rsid w:val="00AE2D7F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033F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333D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BF58C3"/>
    <w:rsid w:val="00BF6A95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03F7"/>
    <w:rsid w:val="00CC3BA1"/>
    <w:rsid w:val="00CC42C6"/>
    <w:rsid w:val="00CC5A27"/>
    <w:rsid w:val="00CC6E84"/>
    <w:rsid w:val="00CD0B17"/>
    <w:rsid w:val="00CD1191"/>
    <w:rsid w:val="00CD14E9"/>
    <w:rsid w:val="00CD38F4"/>
    <w:rsid w:val="00CD4B25"/>
    <w:rsid w:val="00CD4BE0"/>
    <w:rsid w:val="00CD6FF5"/>
    <w:rsid w:val="00CD7B5B"/>
    <w:rsid w:val="00CE035B"/>
    <w:rsid w:val="00CE0F97"/>
    <w:rsid w:val="00CE2D19"/>
    <w:rsid w:val="00CE7369"/>
    <w:rsid w:val="00CF20E3"/>
    <w:rsid w:val="00CF44A9"/>
    <w:rsid w:val="00D02F92"/>
    <w:rsid w:val="00D10B5C"/>
    <w:rsid w:val="00D10E89"/>
    <w:rsid w:val="00D1197C"/>
    <w:rsid w:val="00D14159"/>
    <w:rsid w:val="00D15BBA"/>
    <w:rsid w:val="00D16E5B"/>
    <w:rsid w:val="00D22D88"/>
    <w:rsid w:val="00D2744D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0BA"/>
    <w:rsid w:val="00D77E92"/>
    <w:rsid w:val="00D80C1A"/>
    <w:rsid w:val="00D821E5"/>
    <w:rsid w:val="00D83DF3"/>
    <w:rsid w:val="00D84CCE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2451"/>
    <w:rsid w:val="00DB42C3"/>
    <w:rsid w:val="00DB4E11"/>
    <w:rsid w:val="00DB5C15"/>
    <w:rsid w:val="00DB5D02"/>
    <w:rsid w:val="00DC0095"/>
    <w:rsid w:val="00DC1E80"/>
    <w:rsid w:val="00DC309B"/>
    <w:rsid w:val="00DC47A6"/>
    <w:rsid w:val="00DC4DA2"/>
    <w:rsid w:val="00DC516A"/>
    <w:rsid w:val="00DC6D0F"/>
    <w:rsid w:val="00DD089D"/>
    <w:rsid w:val="00DD3917"/>
    <w:rsid w:val="00DD45F1"/>
    <w:rsid w:val="00DD4C17"/>
    <w:rsid w:val="00DD5B05"/>
    <w:rsid w:val="00DD6C56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333A"/>
    <w:rsid w:val="00E644E8"/>
    <w:rsid w:val="00E65966"/>
    <w:rsid w:val="00E65AAE"/>
    <w:rsid w:val="00E668AB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B5EC0"/>
    <w:rsid w:val="00EC05A4"/>
    <w:rsid w:val="00EC16CD"/>
    <w:rsid w:val="00EC1E93"/>
    <w:rsid w:val="00EC2729"/>
    <w:rsid w:val="00EC3517"/>
    <w:rsid w:val="00EC424B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3797"/>
    <w:rsid w:val="00F04712"/>
    <w:rsid w:val="00F10B1F"/>
    <w:rsid w:val="00F16DDC"/>
    <w:rsid w:val="00F209B1"/>
    <w:rsid w:val="00F21311"/>
    <w:rsid w:val="00F217C7"/>
    <w:rsid w:val="00F21980"/>
    <w:rsid w:val="00F220BD"/>
    <w:rsid w:val="00F22EC7"/>
    <w:rsid w:val="00F2342D"/>
    <w:rsid w:val="00F273D3"/>
    <w:rsid w:val="00F3035A"/>
    <w:rsid w:val="00F325C8"/>
    <w:rsid w:val="00F32778"/>
    <w:rsid w:val="00F33A7D"/>
    <w:rsid w:val="00F34AD4"/>
    <w:rsid w:val="00F37628"/>
    <w:rsid w:val="00F402C7"/>
    <w:rsid w:val="00F40958"/>
    <w:rsid w:val="00F42F72"/>
    <w:rsid w:val="00F465DF"/>
    <w:rsid w:val="00F4799F"/>
    <w:rsid w:val="00F50262"/>
    <w:rsid w:val="00F50F72"/>
    <w:rsid w:val="00F55516"/>
    <w:rsid w:val="00F56D57"/>
    <w:rsid w:val="00F61B4D"/>
    <w:rsid w:val="00F62AEB"/>
    <w:rsid w:val="00F653B8"/>
    <w:rsid w:val="00F70647"/>
    <w:rsid w:val="00F73852"/>
    <w:rsid w:val="00F7420E"/>
    <w:rsid w:val="00F74715"/>
    <w:rsid w:val="00F77382"/>
    <w:rsid w:val="00F851B0"/>
    <w:rsid w:val="00F86361"/>
    <w:rsid w:val="00F8688A"/>
    <w:rsid w:val="00F87FF5"/>
    <w:rsid w:val="00F9142B"/>
    <w:rsid w:val="00F92DB0"/>
    <w:rsid w:val="00F9377C"/>
    <w:rsid w:val="00F95EDB"/>
    <w:rsid w:val="00F96804"/>
    <w:rsid w:val="00FA0D1A"/>
    <w:rsid w:val="00FA0DFF"/>
    <w:rsid w:val="00FA1266"/>
    <w:rsid w:val="00FA7625"/>
    <w:rsid w:val="00FB1CFB"/>
    <w:rsid w:val="00FB2C76"/>
    <w:rsid w:val="00FB4364"/>
    <w:rsid w:val="00FB4C0B"/>
    <w:rsid w:val="00FB68AC"/>
    <w:rsid w:val="00FC1192"/>
    <w:rsid w:val="00FC13B0"/>
    <w:rsid w:val="00FC156D"/>
    <w:rsid w:val="00FC346D"/>
    <w:rsid w:val="00FC371C"/>
    <w:rsid w:val="00FC5795"/>
    <w:rsid w:val="00FC59FD"/>
    <w:rsid w:val="00FC68BC"/>
    <w:rsid w:val="00FC7334"/>
    <w:rsid w:val="00FD0D5A"/>
    <w:rsid w:val="00FD12FB"/>
    <w:rsid w:val="00FD2B0B"/>
    <w:rsid w:val="00FD324E"/>
    <w:rsid w:val="00FD355F"/>
    <w:rsid w:val="00FE46C6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  <w:style w:type="character" w:customStyle="1" w:styleId="apple-converted-space">
    <w:name w:val="apple-converted-space"/>
    <w:basedOn w:val="DefaultParagraphFont"/>
    <w:rsid w:val="00F5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1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4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1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6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8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2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4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22</cp:revision>
  <cp:lastPrinted>2019-02-25T15:05:00Z</cp:lastPrinted>
  <dcterms:created xsi:type="dcterms:W3CDTF">2025-05-07T11:17:00Z</dcterms:created>
  <dcterms:modified xsi:type="dcterms:W3CDTF">2025-05-09T20:25:00Z</dcterms:modified>
  <cp:category/>
</cp:coreProperties>
</file>